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60" w:rsidRPr="000626C9" w:rsidRDefault="00554928" w:rsidP="00554928">
      <w:pPr>
        <w:pStyle w:val="Heading1"/>
        <w:rPr>
          <w:lang w:val="en-GB"/>
        </w:rPr>
      </w:pPr>
      <w:r w:rsidRPr="000626C9">
        <w:rPr>
          <w:lang w:val="en-GB"/>
        </w:rPr>
        <w:t>Non-official VSM</w:t>
      </w:r>
      <w:r w:rsidR="0006677F" w:rsidRPr="000626C9">
        <w:rPr>
          <w:lang w:val="en-GB"/>
        </w:rPr>
        <w:t>08 scores</w:t>
      </w:r>
    </w:p>
    <w:p w:rsidR="00554928" w:rsidRPr="000626C9" w:rsidRDefault="00554928" w:rsidP="00554928">
      <w:pPr>
        <w:rPr>
          <w:lang w:val="en-GB"/>
        </w:rPr>
      </w:pPr>
      <w:r w:rsidRPr="000626C9">
        <w:rPr>
          <w:lang w:val="en-GB"/>
        </w:rPr>
        <w:t xml:space="preserve">Version </w:t>
      </w:r>
      <w:r w:rsidR="000626C9">
        <w:t>2014 01 04</w:t>
      </w:r>
    </w:p>
    <w:p w:rsidR="00554928" w:rsidRPr="00554928" w:rsidRDefault="00554928" w:rsidP="00554928">
      <w:r w:rsidRPr="00554928">
        <w:t xml:space="preserve">These are data that we do not feel confident enough about to add them in the official data base but good enough to publish here. </w:t>
      </w:r>
      <w:r>
        <w:t>We add the sources as much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1276"/>
        <w:gridCol w:w="816"/>
      </w:tblGrid>
      <w:tr w:rsidR="00554928" w:rsidTr="00554928">
        <w:tc>
          <w:tcPr>
            <w:tcW w:w="3794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 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 xml:space="preserve">PDI 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IDV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MAS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UAI</w:t>
            </w:r>
          </w:p>
        </w:tc>
        <w:tc>
          <w:tcPr>
            <w:tcW w:w="127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LTO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-WVS</w:t>
            </w:r>
          </w:p>
        </w:tc>
        <w:tc>
          <w:tcPr>
            <w:tcW w:w="81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IVR</w:t>
            </w:r>
          </w:p>
        </w:tc>
      </w:tr>
      <w:tr w:rsidR="000626C9" w:rsidTr="00554928">
        <w:tc>
          <w:tcPr>
            <w:tcW w:w="3794" w:type="dxa"/>
            <w:vAlign w:val="center"/>
          </w:tcPr>
          <w:p w:rsidR="000626C9" w:rsidRPr="00606E7C" w:rsidRDefault="000626C9" w:rsidP="00B11152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Nepal</w:t>
            </w:r>
          </w:p>
        </w:tc>
        <w:tc>
          <w:tcPr>
            <w:tcW w:w="850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71</w:t>
            </w:r>
          </w:p>
        </w:tc>
        <w:tc>
          <w:tcPr>
            <w:tcW w:w="851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31</w:t>
            </w:r>
          </w:p>
        </w:tc>
        <w:tc>
          <w:tcPr>
            <w:tcW w:w="850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37</w:t>
            </w:r>
          </w:p>
        </w:tc>
        <w:tc>
          <w:tcPr>
            <w:tcW w:w="851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32</w:t>
            </w:r>
          </w:p>
        </w:tc>
        <w:tc>
          <w:tcPr>
            <w:tcW w:w="1276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43</w:t>
            </w:r>
          </w:p>
        </w:tc>
        <w:tc>
          <w:tcPr>
            <w:tcW w:w="816" w:type="dxa"/>
            <w:vAlign w:val="center"/>
          </w:tcPr>
          <w:p w:rsidR="000626C9" w:rsidRPr="00606E7C" w:rsidRDefault="000626C9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>
              <w:rPr>
                <w:rFonts w:eastAsia="Times New Roman" w:cs="Arial"/>
                <w:color w:val="000000"/>
                <w:szCs w:val="24"/>
                <w:lang w:eastAsia="en-GB" w:bidi="ta-IN"/>
              </w:rPr>
              <w:t>68</w:t>
            </w:r>
          </w:p>
        </w:tc>
      </w:tr>
      <w:tr w:rsidR="00554928" w:rsidTr="00554928">
        <w:tc>
          <w:tcPr>
            <w:tcW w:w="3794" w:type="dxa"/>
            <w:vAlign w:val="center"/>
          </w:tcPr>
          <w:p w:rsidR="00554928" w:rsidRPr="00606E7C" w:rsidRDefault="00554928" w:rsidP="00B11152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 xml:space="preserve">ri </w:t>
            </w: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anka</w:t>
            </w: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 xml:space="preserve">-General population 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72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28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35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53</w:t>
            </w:r>
          </w:p>
        </w:tc>
        <w:tc>
          <w:tcPr>
            <w:tcW w:w="127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49</w:t>
            </w:r>
          </w:p>
        </w:tc>
        <w:tc>
          <w:tcPr>
            <w:tcW w:w="81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64</w:t>
            </w:r>
          </w:p>
        </w:tc>
      </w:tr>
      <w:tr w:rsidR="00554928" w:rsidTr="00554928">
        <w:tc>
          <w:tcPr>
            <w:tcW w:w="3794" w:type="dxa"/>
            <w:vAlign w:val="center"/>
          </w:tcPr>
          <w:p w:rsidR="00554928" w:rsidRPr="00606E7C" w:rsidRDefault="00554928" w:rsidP="00B11152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 xml:space="preserve">ri </w:t>
            </w: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>anka</w:t>
            </w:r>
            <w:r w:rsidRPr="00606E7C">
              <w:rPr>
                <w:rFonts w:eastAsia="Times New Roman" w:cs="Arial"/>
                <w:b/>
                <w:bCs/>
                <w:color w:val="000000"/>
                <w:szCs w:val="24"/>
                <w:lang w:eastAsia="en-GB" w:bidi="ta-IN"/>
              </w:rPr>
              <w:t xml:space="preserve">-Garment industry 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84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24</w:t>
            </w:r>
          </w:p>
        </w:tc>
        <w:tc>
          <w:tcPr>
            <w:tcW w:w="850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61</w:t>
            </w:r>
          </w:p>
        </w:tc>
        <w:tc>
          <w:tcPr>
            <w:tcW w:w="851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40</w:t>
            </w:r>
          </w:p>
        </w:tc>
        <w:tc>
          <w:tcPr>
            <w:tcW w:w="127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41</w:t>
            </w:r>
          </w:p>
        </w:tc>
        <w:tc>
          <w:tcPr>
            <w:tcW w:w="816" w:type="dxa"/>
            <w:vAlign w:val="center"/>
          </w:tcPr>
          <w:p w:rsidR="00554928" w:rsidRPr="00606E7C" w:rsidRDefault="00554928" w:rsidP="00B11152">
            <w:pPr>
              <w:jc w:val="center"/>
              <w:rPr>
                <w:rFonts w:eastAsia="Times New Roman" w:cs="Arial"/>
                <w:color w:val="000000"/>
                <w:szCs w:val="24"/>
                <w:lang w:eastAsia="en-GB" w:bidi="ta-IN"/>
              </w:rPr>
            </w:pPr>
            <w:r w:rsidRPr="00606E7C">
              <w:rPr>
                <w:rFonts w:eastAsia="Times New Roman" w:cs="Arial"/>
                <w:color w:val="000000"/>
                <w:szCs w:val="24"/>
                <w:lang w:eastAsia="en-GB" w:bidi="ta-IN"/>
              </w:rPr>
              <w:t>52</w:t>
            </w:r>
          </w:p>
        </w:tc>
      </w:tr>
      <w:tr w:rsidR="00554928" w:rsidTr="00554928">
        <w:tc>
          <w:tcPr>
            <w:tcW w:w="3794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1276" w:type="dxa"/>
          </w:tcPr>
          <w:p w:rsidR="00554928" w:rsidRDefault="00554928" w:rsidP="00554928"/>
        </w:tc>
        <w:tc>
          <w:tcPr>
            <w:tcW w:w="816" w:type="dxa"/>
          </w:tcPr>
          <w:p w:rsidR="00554928" w:rsidRDefault="00554928" w:rsidP="00554928"/>
        </w:tc>
      </w:tr>
      <w:tr w:rsidR="00554928" w:rsidTr="00554928">
        <w:tc>
          <w:tcPr>
            <w:tcW w:w="3794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1276" w:type="dxa"/>
          </w:tcPr>
          <w:p w:rsidR="00554928" w:rsidRDefault="00554928" w:rsidP="00554928"/>
        </w:tc>
        <w:tc>
          <w:tcPr>
            <w:tcW w:w="816" w:type="dxa"/>
          </w:tcPr>
          <w:p w:rsidR="00554928" w:rsidRDefault="00554928" w:rsidP="00554928"/>
        </w:tc>
      </w:tr>
      <w:tr w:rsidR="00554928" w:rsidTr="00554928">
        <w:tc>
          <w:tcPr>
            <w:tcW w:w="3794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850" w:type="dxa"/>
          </w:tcPr>
          <w:p w:rsidR="00554928" w:rsidRDefault="00554928" w:rsidP="00554928"/>
        </w:tc>
        <w:tc>
          <w:tcPr>
            <w:tcW w:w="851" w:type="dxa"/>
          </w:tcPr>
          <w:p w:rsidR="00554928" w:rsidRDefault="00554928" w:rsidP="00554928"/>
        </w:tc>
        <w:tc>
          <w:tcPr>
            <w:tcW w:w="1276" w:type="dxa"/>
          </w:tcPr>
          <w:p w:rsidR="00554928" w:rsidRDefault="00554928" w:rsidP="00554928"/>
        </w:tc>
        <w:tc>
          <w:tcPr>
            <w:tcW w:w="816" w:type="dxa"/>
          </w:tcPr>
          <w:p w:rsidR="00554928" w:rsidRDefault="00554928" w:rsidP="00554928"/>
        </w:tc>
      </w:tr>
    </w:tbl>
    <w:p w:rsidR="00554928" w:rsidRDefault="00554928" w:rsidP="00554928"/>
    <w:p w:rsidR="00D2454E" w:rsidRPr="00D2454E" w:rsidRDefault="00D2454E" w:rsidP="00554928">
      <w:pPr>
        <w:rPr>
          <w:lang w:val="en-GB"/>
        </w:rPr>
      </w:pPr>
      <w:r w:rsidRPr="00D2454E">
        <w:rPr>
          <w:lang w:val="en-GB"/>
        </w:rPr>
        <w:t>Here are the data sources in chronological order.</w:t>
      </w:r>
      <w:bookmarkStart w:id="0" w:name="_GoBack"/>
      <w:bookmarkEnd w:id="0"/>
    </w:p>
    <w:p w:rsidR="00554928" w:rsidRDefault="00554928" w:rsidP="00554928">
      <w:pPr>
        <w:rPr>
          <w:rFonts w:ascii="Tahoma" w:hAnsi="Tahoma" w:cs="Tahoma"/>
          <w:sz w:val="20"/>
          <w:szCs w:val="20"/>
        </w:rPr>
      </w:pPr>
      <w:r w:rsidRPr="00554928">
        <w:rPr>
          <w:b/>
        </w:rPr>
        <w:t>Sri Lanka:</w:t>
      </w:r>
      <w:r w:rsidRPr="00554928">
        <w:t xml:space="preserve"> </w:t>
      </w:r>
      <w:r>
        <w:t xml:space="preserve">data </w:t>
      </w:r>
      <w:r w:rsidRPr="00554928">
        <w:t xml:space="preserve">from a 2011 M.Sc. </w:t>
      </w:r>
      <w:r>
        <w:t xml:space="preserve">thesis by </w:t>
      </w:r>
      <w:proofErr w:type="spellStart"/>
      <w:r>
        <w:t>Kavindu</w:t>
      </w:r>
      <w:proofErr w:type="spellEnd"/>
      <w:r>
        <w:t xml:space="preserve"> </w:t>
      </w:r>
      <w:proofErr w:type="spellStart"/>
      <w:r>
        <w:t>Bandara</w:t>
      </w:r>
      <w:proofErr w:type="spellEnd"/>
      <w:r>
        <w:t xml:space="preserve"> </w:t>
      </w:r>
      <w:r>
        <w:rPr>
          <w:rFonts w:ascii="Tahoma" w:hAnsi="Tahoma" w:cs="Tahoma"/>
          <w:sz w:val="20"/>
          <w:szCs w:val="20"/>
        </w:rPr>
        <w:t>MEDIWAKE</w:t>
      </w:r>
      <w:r w:rsidR="00640DFD">
        <w:rPr>
          <w:rFonts w:ascii="Tahoma" w:hAnsi="Tahoma" w:cs="Tahoma"/>
          <w:sz w:val="20"/>
          <w:szCs w:val="20"/>
        </w:rPr>
        <w:t xml:space="preserve"> at Salford U</w:t>
      </w:r>
      <w:r>
        <w:rPr>
          <w:rFonts w:ascii="Tahoma" w:hAnsi="Tahoma" w:cs="Tahoma"/>
          <w:sz w:val="20"/>
          <w:szCs w:val="20"/>
        </w:rPr>
        <w:t>niversity. Note the differences in scores between the two samples – this implies caution is needed in interpreting.</w:t>
      </w:r>
    </w:p>
    <w:p w:rsidR="000626C9" w:rsidRPr="00554928" w:rsidRDefault="000626C9" w:rsidP="00554928">
      <w:r w:rsidRPr="000626C9">
        <w:rPr>
          <w:rFonts w:ascii="Tahoma" w:hAnsi="Tahoma" w:cs="Tahoma"/>
          <w:b/>
          <w:sz w:val="20"/>
          <w:szCs w:val="20"/>
        </w:rPr>
        <w:t>Nepal</w:t>
      </w:r>
      <w:r>
        <w:rPr>
          <w:rFonts w:ascii="Tahoma" w:hAnsi="Tahoma" w:cs="Tahoma"/>
          <w:sz w:val="20"/>
          <w:szCs w:val="20"/>
        </w:rPr>
        <w:t xml:space="preserve">: data from a 2013 report by </w:t>
      </w:r>
      <w:proofErr w:type="spellStart"/>
      <w:r>
        <w:rPr>
          <w:rFonts w:ascii="Tahoma" w:hAnsi="Tahoma" w:cs="Tahoma"/>
          <w:sz w:val="20"/>
          <w:szCs w:val="20"/>
        </w:rPr>
        <w:t>Binod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Shresta</w:t>
      </w:r>
      <w:proofErr w:type="spellEnd"/>
      <w:r>
        <w:rPr>
          <w:rFonts w:ascii="Tahoma" w:hAnsi="Tahoma" w:cs="Tahoma"/>
          <w:sz w:val="20"/>
          <w:szCs w:val="20"/>
        </w:rPr>
        <w:t xml:space="preserve"> during his studies at </w:t>
      </w:r>
      <w:proofErr w:type="spellStart"/>
      <w:r>
        <w:rPr>
          <w:rFonts w:ascii="Tahoma" w:hAnsi="Tahoma" w:cs="Tahoma"/>
          <w:sz w:val="20"/>
          <w:szCs w:val="20"/>
        </w:rPr>
        <w:t>Saxion</w:t>
      </w:r>
      <w:proofErr w:type="spellEnd"/>
      <w:r>
        <w:rPr>
          <w:rFonts w:ascii="Tahoma" w:hAnsi="Tahoma" w:cs="Tahoma"/>
          <w:sz w:val="20"/>
          <w:szCs w:val="20"/>
        </w:rPr>
        <w:t xml:space="preserve"> University of Applied Sciences in the Netherlands, on a matched sample of Nepalese (n=50) and Dutch (n=50) respondents. The respondents in both cases were students and university employees.</w:t>
      </w:r>
    </w:p>
    <w:sectPr w:rsidR="000626C9" w:rsidRPr="00554928" w:rsidSect="00BF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28"/>
    <w:rsid w:val="000626C9"/>
    <w:rsid w:val="0006677F"/>
    <w:rsid w:val="00554928"/>
    <w:rsid w:val="00640DFD"/>
    <w:rsid w:val="00BF1F60"/>
    <w:rsid w:val="00D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Jan</dc:creator>
  <cp:lastModifiedBy>GJH2012</cp:lastModifiedBy>
  <cp:revision>2</cp:revision>
  <dcterms:created xsi:type="dcterms:W3CDTF">2014-01-04T17:16:00Z</dcterms:created>
  <dcterms:modified xsi:type="dcterms:W3CDTF">2014-01-04T17:16:00Z</dcterms:modified>
</cp:coreProperties>
</file>